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</w:t>
      </w:r>
      <w:r w:rsidR="009533A9">
        <w:rPr>
          <w:rFonts w:ascii="Arial" w:hAnsi="Arial"/>
          <w:b/>
          <w:szCs w:val="28"/>
        </w:rPr>
        <w:t>НАУЧНЫХ РАБОТ НА ИНОСТРАННОМ ЯЗЫКЕ</w:t>
      </w:r>
    </w:p>
    <w:p w:rsidR="00B97CF9" w:rsidRDefault="00BA4A3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9533A9">
        <w:rPr>
          <w:rFonts w:ascii="Arial" w:hAnsi="Arial"/>
          <w:b/>
          <w:szCs w:val="28"/>
          <w:lang w:val="en-US"/>
        </w:rPr>
        <w:t>POWER OF EDUCATION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9533A9" w:rsidRDefault="00D75117" w:rsidP="009533A9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98427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533A9" w:rsidRPr="00970F09">
        <w:rPr>
          <w:b/>
          <w:szCs w:val="28"/>
        </w:rPr>
        <w:t>8</w:t>
      </w:r>
      <w:r w:rsidR="00D75117">
        <w:rPr>
          <w:b/>
          <w:szCs w:val="28"/>
        </w:rPr>
        <w:t xml:space="preserve"> </w:t>
      </w:r>
      <w:r w:rsidR="00BB26DD">
        <w:rPr>
          <w:b/>
          <w:szCs w:val="28"/>
        </w:rPr>
        <w:t>марта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BB26DD">
        <w:rPr>
          <w:spacing w:val="-4"/>
          <w:sz w:val="24"/>
          <w:szCs w:val="24"/>
        </w:rPr>
        <w:t xml:space="preserve">авторских </w:t>
      </w:r>
      <w:r w:rsidR="009533A9">
        <w:rPr>
          <w:spacing w:val="-4"/>
          <w:sz w:val="24"/>
          <w:szCs w:val="24"/>
        </w:rPr>
        <w:t>работ на иностранном языке</w:t>
      </w:r>
      <w:r w:rsidR="00BB26DD">
        <w:rPr>
          <w:spacing w:val="-4"/>
          <w:sz w:val="24"/>
          <w:szCs w:val="24"/>
        </w:rPr>
        <w:t>.</w:t>
      </w:r>
      <w:r w:rsidR="009533A9">
        <w:rPr>
          <w:spacing w:val="-4"/>
          <w:sz w:val="24"/>
          <w:szCs w:val="24"/>
        </w:rPr>
        <w:t xml:space="preserve"> Принимаем работы на русском, английском, армянском, украинском, французском, немецком языках, оформленные как научные статьи.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7A7717" w:rsidRDefault="007A771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Тематика </w:t>
      </w:r>
      <w:r w:rsidR="009533A9">
        <w:rPr>
          <w:spacing w:val="-4"/>
          <w:sz w:val="24"/>
          <w:szCs w:val="24"/>
        </w:rPr>
        <w:t>работ</w:t>
      </w:r>
      <w:r w:rsidR="00BB26DD">
        <w:rPr>
          <w:spacing w:val="-4"/>
          <w:sz w:val="24"/>
          <w:szCs w:val="24"/>
        </w:rPr>
        <w:t xml:space="preserve"> рассматривается</w:t>
      </w:r>
      <w:r>
        <w:rPr>
          <w:spacing w:val="-4"/>
          <w:sz w:val="24"/>
          <w:szCs w:val="24"/>
        </w:rPr>
        <w:t xml:space="preserve"> любая.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3859CA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BB26DD">
        <w:rPr>
          <w:spacing w:val="-4"/>
          <w:sz w:val="24"/>
          <w:szCs w:val="24"/>
        </w:rPr>
        <w:t xml:space="preserve">публикацию своей </w:t>
      </w:r>
      <w:r w:rsidR="009533A9">
        <w:rPr>
          <w:spacing w:val="-4"/>
          <w:sz w:val="24"/>
          <w:szCs w:val="24"/>
        </w:rPr>
        <w:t>научной работы</w:t>
      </w:r>
      <w:r w:rsidR="00930A7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BF0347">
        <w:rPr>
          <w:spacing w:val="-4"/>
          <w:sz w:val="24"/>
          <w:szCs w:val="24"/>
        </w:rPr>
        <w:t>.</w:t>
      </w:r>
    </w:p>
    <w:p w:rsidR="007B523B" w:rsidRDefault="007B523B" w:rsidP="00BC4D1B">
      <w:pPr>
        <w:pStyle w:val="a5"/>
        <w:jc w:val="both"/>
        <w:rPr>
          <w:spacing w:val="-4"/>
          <w:sz w:val="24"/>
          <w:szCs w:val="24"/>
        </w:rPr>
      </w:pPr>
    </w:p>
    <w:p w:rsidR="007B523B" w:rsidRDefault="0087165C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 будут объявлены победители конкурса в различных номинациях </w:t>
      </w:r>
      <w:r w:rsidR="007B523B">
        <w:rPr>
          <w:spacing w:val="-4"/>
          <w:sz w:val="24"/>
          <w:szCs w:val="24"/>
        </w:rPr>
        <w:t>(«</w:t>
      </w:r>
      <w:r w:rsidR="007B523B" w:rsidRPr="007B523B">
        <w:rPr>
          <w:b/>
          <w:spacing w:val="-4"/>
          <w:sz w:val="24"/>
          <w:szCs w:val="24"/>
        </w:rPr>
        <w:t>Лучшее практическое исследование</w:t>
      </w:r>
      <w:r w:rsidR="007B523B">
        <w:rPr>
          <w:spacing w:val="-4"/>
          <w:sz w:val="24"/>
          <w:szCs w:val="24"/>
        </w:rPr>
        <w:t>,  «</w:t>
      </w:r>
      <w:r w:rsidR="007B523B" w:rsidRPr="007B523B">
        <w:rPr>
          <w:b/>
          <w:spacing w:val="-4"/>
          <w:sz w:val="24"/>
          <w:szCs w:val="24"/>
        </w:rPr>
        <w:t>Лучшая фундаментальная работа</w:t>
      </w:r>
      <w:r w:rsidR="007B523B"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2D7955" w:rsidRDefault="003859CA" w:rsidP="002D7955">
      <w:pPr>
        <w:pStyle w:val="a5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  <w:r w:rsidRPr="003859CA">
        <w:rPr>
          <w:spacing w:val="-4"/>
          <w:sz w:val="24"/>
          <w:szCs w:val="24"/>
        </w:rPr>
        <w:br/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  <w:r w:rsidRPr="003859CA">
        <w:rPr>
          <w:spacing w:val="-4"/>
          <w:sz w:val="24"/>
          <w:szCs w:val="24"/>
        </w:rPr>
        <w:br/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  <w:r w:rsidRPr="003859CA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4. Форма участия в к</w:t>
      </w:r>
      <w:r w:rsidRPr="003859CA">
        <w:rPr>
          <w:spacing w:val="-4"/>
          <w:sz w:val="24"/>
          <w:szCs w:val="24"/>
        </w:rPr>
        <w:t>онкурсе – заочная.</w:t>
      </w:r>
      <w:r w:rsidRPr="003859CA">
        <w:rPr>
          <w:spacing w:val="-4"/>
          <w:sz w:val="24"/>
          <w:szCs w:val="24"/>
        </w:rPr>
        <w:br/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6</w:t>
      </w:r>
      <w:r w:rsidR="00044BC0">
        <w:rPr>
          <w:spacing w:val="-4"/>
          <w:sz w:val="24"/>
          <w:szCs w:val="24"/>
        </w:rPr>
        <w:t>00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1D3E4F" w:rsidRDefault="002D795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</w:t>
      </w:r>
      <w:r w:rsidR="009150D0">
        <w:rPr>
          <w:spacing w:val="-4"/>
          <w:sz w:val="24"/>
          <w:szCs w:val="24"/>
        </w:rPr>
        <w:t xml:space="preserve"> участника из других стран  – 90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Pr="00A41CF3">
        <w:rPr>
          <w:spacing w:val="-4"/>
          <w:sz w:val="24"/>
          <w:szCs w:val="24"/>
        </w:rPr>
        <w:t xml:space="preserve"> </w:t>
      </w:r>
      <w:r w:rsidR="00BB26DD">
        <w:rPr>
          <w:spacing w:val="-4"/>
          <w:sz w:val="24"/>
          <w:szCs w:val="24"/>
        </w:rPr>
        <w:t xml:space="preserve">по системам </w:t>
      </w:r>
      <w:proofErr w:type="spellStart"/>
      <w:r w:rsidR="00BB26DD">
        <w:rPr>
          <w:spacing w:val="-4"/>
          <w:sz w:val="24"/>
          <w:szCs w:val="24"/>
        </w:rPr>
        <w:t>Western</w:t>
      </w:r>
      <w:proofErr w:type="spellEnd"/>
      <w:r w:rsidR="00BB26DD">
        <w:rPr>
          <w:spacing w:val="-4"/>
          <w:sz w:val="24"/>
          <w:szCs w:val="24"/>
        </w:rPr>
        <w:t xml:space="preserve"> </w:t>
      </w:r>
      <w:proofErr w:type="spellStart"/>
      <w:r w:rsidR="00BB26DD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 xml:space="preserve">, Золотая корона, </w:t>
      </w:r>
      <w:proofErr w:type="spellStart"/>
      <w:r w:rsidRPr="00A41CF3">
        <w:rPr>
          <w:spacing w:val="-4"/>
          <w:sz w:val="24"/>
          <w:szCs w:val="24"/>
        </w:rPr>
        <w:t>Contact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br/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>
        <w:rPr>
          <w:spacing w:val="-4"/>
          <w:sz w:val="24"/>
          <w:szCs w:val="24"/>
        </w:rPr>
        <w:t>адрес оргкомитета.</w:t>
      </w:r>
      <w:r>
        <w:rPr>
          <w:spacing w:val="-4"/>
          <w:sz w:val="24"/>
          <w:szCs w:val="24"/>
        </w:rPr>
        <w:br/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  <w:r>
        <w:rPr>
          <w:spacing w:val="-4"/>
          <w:sz w:val="24"/>
          <w:szCs w:val="24"/>
        </w:rPr>
        <w:br/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2D795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9533A9">
        <w:rPr>
          <w:spacing w:val="-4"/>
          <w:sz w:val="24"/>
          <w:szCs w:val="24"/>
        </w:rPr>
        <w:t>работу</w:t>
      </w:r>
      <w:r>
        <w:rPr>
          <w:spacing w:val="-4"/>
          <w:sz w:val="24"/>
          <w:szCs w:val="24"/>
        </w:rPr>
        <w:t xml:space="preserve"> заявка отправляется отдельно.</w:t>
      </w:r>
    </w:p>
    <w:p w:rsidR="00930A7A" w:rsidRDefault="00930A7A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535752" w:rsidRDefault="00535752" w:rsidP="00BC4D1B">
      <w:pPr>
        <w:pStyle w:val="a5"/>
        <w:rPr>
          <w:spacing w:val="-4"/>
          <w:sz w:val="24"/>
          <w:szCs w:val="24"/>
        </w:rPr>
      </w:pPr>
    </w:p>
    <w:p w:rsidR="007B523B" w:rsidRDefault="007B523B" w:rsidP="00BC4D1B">
      <w:pPr>
        <w:pStyle w:val="a5"/>
        <w:rPr>
          <w:spacing w:val="-4"/>
          <w:sz w:val="24"/>
          <w:szCs w:val="24"/>
        </w:rPr>
      </w:pPr>
    </w:p>
    <w:p w:rsidR="00B05547" w:rsidRDefault="00B05547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Порядок проведения мероприятия:</w:t>
      </w:r>
    </w:p>
    <w:p w:rsidR="003859CA" w:rsidRDefault="009A3315" w:rsidP="00BC4D1B">
      <w:pPr>
        <w:pStyle w:val="a5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970F09">
        <w:rPr>
          <w:spacing w:val="-4"/>
          <w:sz w:val="24"/>
          <w:szCs w:val="24"/>
        </w:rPr>
        <w:t>27</w:t>
      </w:r>
      <w:r w:rsidRPr="009A3315">
        <w:rPr>
          <w:spacing w:val="-4"/>
          <w:sz w:val="24"/>
          <w:szCs w:val="24"/>
        </w:rPr>
        <w:t>.</w:t>
      </w:r>
      <w:r w:rsidR="00984274">
        <w:rPr>
          <w:spacing w:val="-4"/>
          <w:sz w:val="24"/>
          <w:szCs w:val="24"/>
        </w:rPr>
        <w:t>03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  <w:r w:rsidRPr="009A3315">
        <w:rPr>
          <w:spacing w:val="-4"/>
          <w:sz w:val="24"/>
          <w:szCs w:val="24"/>
        </w:rPr>
        <w:br/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70F09">
        <w:rPr>
          <w:spacing w:val="-4"/>
          <w:sz w:val="24"/>
          <w:szCs w:val="24"/>
        </w:rPr>
        <w:t>научной работы (статьи)</w:t>
      </w:r>
      <w:r w:rsidR="00044BC0">
        <w:rPr>
          <w:spacing w:val="-4"/>
          <w:sz w:val="24"/>
          <w:szCs w:val="24"/>
        </w:rPr>
        <w:t>.</w:t>
      </w:r>
    </w:p>
    <w:p w:rsidR="003859CA" w:rsidRDefault="00FF1061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984274">
        <w:rPr>
          <w:spacing w:val="-4"/>
          <w:sz w:val="24"/>
          <w:szCs w:val="24"/>
        </w:rPr>
        <w:t>2</w:t>
      </w:r>
      <w:r w:rsidR="00970F09">
        <w:rPr>
          <w:spacing w:val="-4"/>
          <w:sz w:val="24"/>
          <w:szCs w:val="24"/>
        </w:rPr>
        <w:t>8</w:t>
      </w:r>
      <w:r w:rsidR="009150D0">
        <w:rPr>
          <w:spacing w:val="-4"/>
          <w:sz w:val="24"/>
          <w:szCs w:val="24"/>
        </w:rPr>
        <w:t xml:space="preserve"> </w:t>
      </w:r>
      <w:r w:rsidR="00984274">
        <w:rPr>
          <w:spacing w:val="-4"/>
          <w:sz w:val="24"/>
          <w:szCs w:val="24"/>
        </w:rPr>
        <w:t>марта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BC4D1B">
      <w:pPr>
        <w:pStyle w:val="a5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52B06">
        <w:rPr>
          <w:spacing w:val="-4"/>
          <w:sz w:val="24"/>
          <w:szCs w:val="24"/>
        </w:rPr>
        <w:t>П</w:t>
      </w:r>
      <w:r w:rsidR="00FF1061">
        <w:rPr>
          <w:spacing w:val="-4"/>
          <w:sz w:val="24"/>
          <w:szCs w:val="24"/>
        </w:rPr>
        <w:t>убликация,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 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352B06" w:rsidRDefault="00352B0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сертификатов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761B16">
        <w:rPr>
          <w:spacing w:val="-4"/>
          <w:sz w:val="24"/>
          <w:szCs w:val="24"/>
        </w:rPr>
        <w:t>;</w:t>
      </w:r>
    </w:p>
    <w:p w:rsidR="00761B16" w:rsidRDefault="00761B1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 конкурс пр</w:t>
      </w:r>
      <w:r w:rsidR="00984274">
        <w:rPr>
          <w:spacing w:val="-4"/>
          <w:sz w:val="24"/>
          <w:szCs w:val="24"/>
        </w:rPr>
        <w:t>инимаются работы объемом менее 10</w:t>
      </w:r>
      <w:r>
        <w:rPr>
          <w:spacing w:val="-4"/>
          <w:sz w:val="24"/>
          <w:szCs w:val="24"/>
        </w:rPr>
        <w:t xml:space="preserve"> страниц (с учетом установленного ниже форматирования текста</w:t>
      </w:r>
      <w:r w:rsidR="009815DF">
        <w:rPr>
          <w:spacing w:val="-4"/>
          <w:sz w:val="24"/>
          <w:szCs w:val="24"/>
        </w:rPr>
        <w:t xml:space="preserve">). </w:t>
      </w:r>
    </w:p>
    <w:p w:rsidR="00772B7E" w:rsidRDefault="00772B7E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Оформлять работу необходимо как научную статью</w:t>
      </w:r>
      <w:r w:rsidR="00B05547">
        <w:rPr>
          <w:spacing w:val="-4"/>
          <w:sz w:val="24"/>
          <w:szCs w:val="24"/>
        </w:rPr>
        <w:t xml:space="preserve"> в формате </w:t>
      </w:r>
      <w:r w:rsidR="00B05547">
        <w:rPr>
          <w:spacing w:val="-4"/>
          <w:sz w:val="24"/>
          <w:szCs w:val="24"/>
          <w:lang w:val="en-US"/>
        </w:rPr>
        <w:t>MS</w:t>
      </w:r>
      <w:r w:rsidR="00B05547" w:rsidRPr="00B05547">
        <w:rPr>
          <w:spacing w:val="-4"/>
          <w:sz w:val="24"/>
          <w:szCs w:val="24"/>
        </w:rPr>
        <w:t xml:space="preserve"> </w:t>
      </w:r>
      <w:r w:rsidR="00B05547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9815DF" w:rsidRPr="001F7967" w:rsidRDefault="009815DF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ВНИМАНИЕ! Если Вы хотите прислать </w:t>
      </w:r>
      <w:r w:rsidR="00E23438">
        <w:rPr>
          <w:spacing w:val="-4"/>
          <w:sz w:val="24"/>
          <w:szCs w:val="24"/>
        </w:rPr>
        <w:t>на конкурс материал</w:t>
      </w:r>
      <w:r>
        <w:rPr>
          <w:spacing w:val="-4"/>
          <w:sz w:val="24"/>
          <w:szCs w:val="24"/>
        </w:rPr>
        <w:t xml:space="preserve">, превышающий 10 страниц текста в формате </w:t>
      </w:r>
      <w:r>
        <w:rPr>
          <w:spacing w:val="-4"/>
          <w:sz w:val="24"/>
          <w:szCs w:val="24"/>
          <w:lang w:val="en-US"/>
        </w:rPr>
        <w:t>MS</w:t>
      </w:r>
      <w:r w:rsidRPr="009815D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, то</w:t>
      </w:r>
      <w:r w:rsidR="00E23438">
        <w:rPr>
          <w:spacing w:val="-4"/>
          <w:sz w:val="24"/>
          <w:szCs w:val="24"/>
        </w:rPr>
        <w:t xml:space="preserve"> за каждую страницу превышения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увеличивается из расчета 50 рублей за</w:t>
      </w:r>
      <w:r w:rsidR="00E23438">
        <w:rPr>
          <w:spacing w:val="-4"/>
          <w:sz w:val="24"/>
          <w:szCs w:val="24"/>
        </w:rPr>
        <w:t xml:space="preserve"> каждую </w:t>
      </w:r>
      <w:r>
        <w:rPr>
          <w:spacing w:val="-4"/>
          <w:sz w:val="24"/>
          <w:szCs w:val="24"/>
        </w:rPr>
        <w:t xml:space="preserve"> страницу.</w:t>
      </w:r>
      <w:r w:rsidR="00E23438">
        <w:rPr>
          <w:spacing w:val="-4"/>
          <w:sz w:val="24"/>
          <w:szCs w:val="24"/>
        </w:rPr>
        <w:t xml:space="preserve"> Т.е. </w:t>
      </w:r>
      <w:proofErr w:type="spellStart"/>
      <w:r w:rsidR="00E23438">
        <w:rPr>
          <w:spacing w:val="-4"/>
          <w:sz w:val="24"/>
          <w:szCs w:val="24"/>
        </w:rPr>
        <w:t>оргвзнос</w:t>
      </w:r>
      <w:proofErr w:type="spellEnd"/>
      <w:r w:rsidR="00E23438">
        <w:rPr>
          <w:spacing w:val="-4"/>
          <w:sz w:val="24"/>
          <w:szCs w:val="24"/>
        </w:rPr>
        <w:t xml:space="preserve"> за участие работы объемом 15 страниц увеличивается на 250 рублей (5 страниц превышения </w:t>
      </w:r>
      <w:r w:rsidR="00E23438">
        <w:rPr>
          <w:spacing w:val="-4"/>
          <w:sz w:val="24"/>
          <w:szCs w:val="24"/>
          <w:lang w:val="en-US"/>
        </w:rPr>
        <w:t>x</w:t>
      </w:r>
      <w:r w:rsidR="001F7967">
        <w:rPr>
          <w:spacing w:val="-4"/>
          <w:sz w:val="24"/>
          <w:szCs w:val="24"/>
        </w:rPr>
        <w:t xml:space="preserve"> 50 рублей = 250 рублей), и т.д.</w:t>
      </w: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815DF" w:rsidRDefault="009815DF" w:rsidP="00E61694">
      <w:pPr>
        <w:pStyle w:val="a5"/>
        <w:jc w:val="both"/>
        <w:rPr>
          <w:spacing w:val="-4"/>
          <w:sz w:val="24"/>
          <w:szCs w:val="24"/>
        </w:rPr>
      </w:pPr>
    </w:p>
    <w:p w:rsidR="00970F09" w:rsidRDefault="00970F09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405FF" w:rsidRPr="00E70F17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294C1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B055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970F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статьи</w:t>
            </w:r>
            <w:r w:rsidR="00B055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  <w:r w:rsidR="00970F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 оригинальном языке (на котором </w:t>
            </w:r>
            <w:r w:rsidR="00294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работа </w:t>
            </w:r>
            <w:r w:rsidR="00970F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написана)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70F09" w:rsidRPr="00E70F17" w:rsidTr="000359D1">
        <w:tc>
          <w:tcPr>
            <w:tcW w:w="7080" w:type="dxa"/>
          </w:tcPr>
          <w:p w:rsidR="00970F09" w:rsidRDefault="00970F09" w:rsidP="00970F0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 на русском языке</w:t>
            </w:r>
          </w:p>
        </w:tc>
        <w:tc>
          <w:tcPr>
            <w:tcW w:w="2384" w:type="dxa"/>
          </w:tcPr>
          <w:p w:rsidR="00970F09" w:rsidRPr="00E70F17" w:rsidRDefault="00970F09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70F09" w:rsidRPr="00E70F17" w:rsidTr="000359D1">
        <w:tc>
          <w:tcPr>
            <w:tcW w:w="7080" w:type="dxa"/>
          </w:tcPr>
          <w:p w:rsidR="00970F09" w:rsidRDefault="00970F09" w:rsidP="00970F0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Язык работы</w:t>
            </w:r>
          </w:p>
        </w:tc>
        <w:tc>
          <w:tcPr>
            <w:tcW w:w="2384" w:type="dxa"/>
          </w:tcPr>
          <w:p w:rsidR="00970F09" w:rsidRPr="00E70F17" w:rsidRDefault="00970F09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70F09" w:rsidRPr="00E70F17" w:rsidTr="000359D1">
        <w:tc>
          <w:tcPr>
            <w:tcW w:w="7080" w:type="dxa"/>
          </w:tcPr>
          <w:p w:rsidR="00970F09" w:rsidRDefault="00970F09" w:rsidP="00970F0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Аннотация (на русском языке,  2-3 предложения)</w:t>
            </w:r>
          </w:p>
        </w:tc>
        <w:tc>
          <w:tcPr>
            <w:tcW w:w="2384" w:type="dxa"/>
          </w:tcPr>
          <w:p w:rsidR="00970F09" w:rsidRPr="00E70F17" w:rsidRDefault="00970F09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4405F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rPr>
          <w:trHeight w:val="893"/>
        </w:trPr>
        <w:tc>
          <w:tcPr>
            <w:tcW w:w="7080" w:type="dxa"/>
          </w:tcPr>
          <w:p w:rsidR="004405FF" w:rsidRPr="00E70F17" w:rsidRDefault="004405FF" w:rsidP="000359D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405FF" w:rsidRPr="007B6F10" w:rsidRDefault="004405FF" w:rsidP="004405F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3E4F" w:rsidRPr="00150848" w:rsidRDefault="001D3E4F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Pr="00434B62" w:rsidRDefault="00150848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70F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СТАТЬИ</w:t>
      </w: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150848" w:rsidRDefault="00970F09" w:rsidP="001508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Весь т</w:t>
      </w:r>
      <w:r w:rsidR="00150848" w:rsidRPr="005112AC">
        <w:rPr>
          <w:spacing w:val="-4"/>
          <w:sz w:val="24"/>
          <w:szCs w:val="24"/>
        </w:rPr>
        <w:t xml:space="preserve">екст </w:t>
      </w:r>
      <w:r>
        <w:rPr>
          <w:spacing w:val="-4"/>
          <w:sz w:val="24"/>
          <w:szCs w:val="24"/>
        </w:rPr>
        <w:t xml:space="preserve">написан в формате </w:t>
      </w:r>
      <w:proofErr w:type="spellStart"/>
      <w:r>
        <w:rPr>
          <w:spacing w:val="-4"/>
          <w:sz w:val="24"/>
          <w:szCs w:val="24"/>
        </w:rPr>
        <w:t>Microsoft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Word</w:t>
      </w:r>
      <w:proofErr w:type="spellEnd"/>
      <w:r>
        <w:rPr>
          <w:spacing w:val="-4"/>
          <w:sz w:val="24"/>
          <w:szCs w:val="24"/>
        </w:rPr>
        <w:t xml:space="preserve"> на том языке, на котором написана статья.</w:t>
      </w:r>
      <w:r w:rsidR="00150848" w:rsidRPr="005112AC">
        <w:rPr>
          <w:spacing w:val="-4"/>
          <w:sz w:val="24"/>
          <w:szCs w:val="24"/>
        </w:rPr>
        <w:t xml:space="preserve"> Формат страницы: А</w:t>
      </w:r>
      <w:proofErr w:type="gramStart"/>
      <w:r w:rsidR="00150848" w:rsidRPr="005112AC">
        <w:rPr>
          <w:spacing w:val="-4"/>
          <w:sz w:val="24"/>
          <w:szCs w:val="24"/>
        </w:rPr>
        <w:t>4</w:t>
      </w:r>
      <w:proofErr w:type="gramEnd"/>
      <w:r w:rsidR="00150848"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="00150848" w:rsidRPr="005112AC">
          <w:rPr>
            <w:spacing w:val="-4"/>
            <w:sz w:val="24"/>
            <w:szCs w:val="24"/>
          </w:rPr>
          <w:t>2,5 см</w:t>
        </w:r>
      </w:smartTag>
      <w:r w:rsidR="00150848" w:rsidRPr="005112AC">
        <w:rPr>
          <w:spacing w:val="-4"/>
          <w:sz w:val="24"/>
          <w:szCs w:val="24"/>
        </w:rPr>
        <w:t xml:space="preserve"> – со всех сторон. Размер шрифта – 14; тип шрифта– </w:t>
      </w:r>
      <w:proofErr w:type="spellStart"/>
      <w:r w:rsidR="00150848"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="00150848"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="00150848" w:rsidRPr="005112AC">
        <w:rPr>
          <w:spacing w:val="-4"/>
          <w:sz w:val="24"/>
          <w:szCs w:val="24"/>
        </w:rPr>
        <w:t>Roman</w:t>
      </w:r>
      <w:proofErr w:type="spellEnd"/>
      <w:r w:rsidR="00150848" w:rsidRPr="005112AC">
        <w:rPr>
          <w:spacing w:val="-4"/>
          <w:sz w:val="24"/>
          <w:szCs w:val="24"/>
        </w:rPr>
        <w:t xml:space="preserve">. Междустрочный интервал – </w:t>
      </w:r>
      <w:r w:rsidR="00150848">
        <w:rPr>
          <w:spacing w:val="-4"/>
          <w:sz w:val="24"/>
          <w:szCs w:val="24"/>
        </w:rPr>
        <w:t>одинарный</w:t>
      </w:r>
      <w:r w:rsidR="00150848" w:rsidRPr="005112AC">
        <w:rPr>
          <w:spacing w:val="-4"/>
          <w:sz w:val="24"/>
          <w:szCs w:val="24"/>
        </w:rPr>
        <w:t xml:space="preserve">. Название </w:t>
      </w:r>
      <w:r w:rsidR="00150848">
        <w:rPr>
          <w:spacing w:val="-4"/>
          <w:sz w:val="24"/>
          <w:szCs w:val="24"/>
        </w:rPr>
        <w:t>работы</w:t>
      </w:r>
      <w:r w:rsidR="00150848"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150848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="00150848"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150848" w:rsidRPr="005112AC">
          <w:rPr>
            <w:spacing w:val="-4"/>
            <w:sz w:val="24"/>
            <w:szCs w:val="24"/>
          </w:rPr>
          <w:t>1,25 см</w:t>
        </w:r>
      </w:smartTag>
      <w:r w:rsidR="00150848"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B05547" w:rsidRDefault="00150848" w:rsidP="00294C1F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>
        <w:rPr>
          <w:spacing w:val="-4"/>
          <w:sz w:val="24"/>
          <w:szCs w:val="24"/>
        </w:rPr>
        <w:t>.</w:t>
      </w:r>
      <w:bookmarkStart w:id="0" w:name="_GoBack"/>
      <w:bookmarkEnd w:id="0"/>
    </w:p>
    <w:p w:rsidR="00294C1F" w:rsidRPr="00294C1F" w:rsidRDefault="00294C1F" w:rsidP="00294C1F">
      <w:pPr>
        <w:pStyle w:val="a5"/>
        <w:jc w:val="both"/>
        <w:rPr>
          <w:spacing w:val="-4"/>
          <w:sz w:val="24"/>
          <w:szCs w:val="24"/>
        </w:rPr>
      </w:pPr>
    </w:p>
    <w:p w:rsidR="005112AC" w:rsidRPr="00BE43F0" w:rsidRDefault="005112AC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43F0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4110E4" w:rsidRPr="004110E4" w:rsidRDefault="004110E4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819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3819A0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294C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29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Power</w:t>
            </w:r>
            <w:r w:rsidR="00294C1F" w:rsidRPr="0029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="00294C1F" w:rsidRPr="0029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Education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87C7F" w:rsidRDefault="00987C7F" w:rsidP="00EE17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B7D44" w:rsidRDefault="006B7D44" w:rsidP="006B7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2014 года:</w:t>
      </w:r>
    </w:p>
    <w:p w:rsidR="006B7D44" w:rsidRDefault="006B7D44" w:rsidP="006B7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B7D44" w:rsidRDefault="006B7D44" w:rsidP="006B7D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6B7D44" w:rsidRDefault="006B7D44" w:rsidP="006B7D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B7D44" w:rsidRDefault="006B7D44" w:rsidP="006B7D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B7D44" w:rsidRDefault="006B7D44" w:rsidP="006B7D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B7D44" w:rsidRDefault="006B7D44" w:rsidP="006B7D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</w:p>
    <w:p w:rsidR="006B7D44" w:rsidRDefault="006B7D44" w:rsidP="006B7D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марта.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развития мировой научной мысли в XXI веке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6B7D44" w:rsidRDefault="006B7D44" w:rsidP="006B7D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B7D44" w:rsidRDefault="006B7D44" w:rsidP="006B7D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6B7D44" w:rsidRDefault="006B7D44" w:rsidP="006B7D44">
      <w:pPr>
        <w:spacing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spacing w:val="-4"/>
          <w:sz w:val="24"/>
        </w:rPr>
        <w:t>1-31 марта. Международный</w:t>
      </w:r>
      <w: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>
        <w:rPr>
          <w:rFonts w:ascii="Times New Roman" w:eastAsia="Times New Roman" w:hAnsi="Times New Roman" w:cs="Times New Roman"/>
          <w:spacing w:val="-4"/>
          <w:sz w:val="24"/>
        </w:rPr>
        <w:t>» (Выпуск №11)</w:t>
      </w:r>
    </w:p>
    <w:p w:rsidR="006B7D44" w:rsidRDefault="006B7D44" w:rsidP="006B7D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6B7D44" w:rsidRDefault="006B7D44" w:rsidP="006B7D44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1-31 марта. Международный научный журнал «</w:t>
      </w:r>
      <w:r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6B7D4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</w:rPr>
        <w:t>» (Выпуск №3)</w:t>
      </w:r>
    </w:p>
    <w:p w:rsidR="006B7D44" w:rsidRDefault="006B7D44" w:rsidP="006B7D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6B7D44" w:rsidRDefault="006B7D44" w:rsidP="006B7D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25 марта.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инноваций «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New</w:t>
      </w:r>
      <w:r w:rsidRPr="006B7D4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Inception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6B7D44" w:rsidRDefault="006B7D44" w:rsidP="006B7D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марта.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научных работ на иностранном языке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6B7D44" w:rsidRDefault="006B7D44" w:rsidP="006B7D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 марта.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лекций  «Научное обозрение»</w:t>
      </w:r>
    </w:p>
    <w:p w:rsidR="006B7D44" w:rsidRDefault="006B7D44" w:rsidP="006B7D4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6B7D44" w:rsidRDefault="006B7D44" w:rsidP="006B7D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B7D44" w:rsidRDefault="006B7D44" w:rsidP="006B7D4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6B7D44" w:rsidRDefault="006B7D44" w:rsidP="006B7D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15 – 20 марта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 Международная (дистанционная) олимпиада по налогам и налоговому праву</w:t>
      </w:r>
    </w:p>
    <w:p w:rsidR="006B7D44" w:rsidRDefault="006B7D44" w:rsidP="006B7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20 - 25 марта.  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Международная  (дистанционная) олимпиада по политологии</w:t>
      </w:r>
    </w:p>
    <w:p w:rsidR="006B7D44" w:rsidRDefault="006B7D44" w:rsidP="006B7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22 - 27 марта.  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>Международная  (дистанционная) олимпиада по международному частному праву</w:t>
      </w:r>
    </w:p>
    <w:p w:rsidR="006B7D44" w:rsidRDefault="006B7D44" w:rsidP="006B7D44">
      <w:pPr>
        <w:spacing w:after="0" w:line="240" w:lineRule="auto"/>
        <w:jc w:val="both"/>
        <w:textAlignment w:val="baseline"/>
      </w:pPr>
    </w:p>
    <w:p w:rsidR="006B7D44" w:rsidRDefault="006B7D44" w:rsidP="006B7D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p w:rsidR="00723337" w:rsidRPr="00251A32" w:rsidRDefault="00723337" w:rsidP="00EE17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723337" w:rsidRPr="00251A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107213"/>
    <w:rsid w:val="00150848"/>
    <w:rsid w:val="00174205"/>
    <w:rsid w:val="00191C0A"/>
    <w:rsid w:val="001A7A89"/>
    <w:rsid w:val="001D3B50"/>
    <w:rsid w:val="001D3E4F"/>
    <w:rsid w:val="001E5CAF"/>
    <w:rsid w:val="001F7967"/>
    <w:rsid w:val="00206BEB"/>
    <w:rsid w:val="002177BB"/>
    <w:rsid w:val="00232CEE"/>
    <w:rsid w:val="002340C3"/>
    <w:rsid w:val="00242101"/>
    <w:rsid w:val="00251A32"/>
    <w:rsid w:val="00254031"/>
    <w:rsid w:val="0026150F"/>
    <w:rsid w:val="002630A2"/>
    <w:rsid w:val="0026627D"/>
    <w:rsid w:val="00284A30"/>
    <w:rsid w:val="00294C1F"/>
    <w:rsid w:val="002B406F"/>
    <w:rsid w:val="002D1D62"/>
    <w:rsid w:val="002D7955"/>
    <w:rsid w:val="002E7327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04473"/>
    <w:rsid w:val="004110E4"/>
    <w:rsid w:val="0042002F"/>
    <w:rsid w:val="00423BBF"/>
    <w:rsid w:val="00427530"/>
    <w:rsid w:val="00434C35"/>
    <w:rsid w:val="004405FF"/>
    <w:rsid w:val="00453458"/>
    <w:rsid w:val="00460B14"/>
    <w:rsid w:val="00467B69"/>
    <w:rsid w:val="00473B9A"/>
    <w:rsid w:val="004C2834"/>
    <w:rsid w:val="004C4CF2"/>
    <w:rsid w:val="004D554A"/>
    <w:rsid w:val="004E4E1B"/>
    <w:rsid w:val="005112AC"/>
    <w:rsid w:val="00523B70"/>
    <w:rsid w:val="005274FB"/>
    <w:rsid w:val="005335BF"/>
    <w:rsid w:val="00535752"/>
    <w:rsid w:val="00536038"/>
    <w:rsid w:val="0054031E"/>
    <w:rsid w:val="005514B3"/>
    <w:rsid w:val="0058769F"/>
    <w:rsid w:val="00596406"/>
    <w:rsid w:val="005B4A66"/>
    <w:rsid w:val="005E445B"/>
    <w:rsid w:val="005F677C"/>
    <w:rsid w:val="00603EA9"/>
    <w:rsid w:val="00636ADE"/>
    <w:rsid w:val="00662798"/>
    <w:rsid w:val="00681D3C"/>
    <w:rsid w:val="006829C0"/>
    <w:rsid w:val="006A1194"/>
    <w:rsid w:val="006A6727"/>
    <w:rsid w:val="006A75B5"/>
    <w:rsid w:val="006B5195"/>
    <w:rsid w:val="006B7D44"/>
    <w:rsid w:val="006C090F"/>
    <w:rsid w:val="006D564C"/>
    <w:rsid w:val="006E44C7"/>
    <w:rsid w:val="00702450"/>
    <w:rsid w:val="00703B5E"/>
    <w:rsid w:val="00710620"/>
    <w:rsid w:val="007162C5"/>
    <w:rsid w:val="00723337"/>
    <w:rsid w:val="00736CBE"/>
    <w:rsid w:val="00756FBA"/>
    <w:rsid w:val="007603F0"/>
    <w:rsid w:val="00761B16"/>
    <w:rsid w:val="00761E94"/>
    <w:rsid w:val="0076461E"/>
    <w:rsid w:val="007658BE"/>
    <w:rsid w:val="0076779F"/>
    <w:rsid w:val="00772B7E"/>
    <w:rsid w:val="00775EE5"/>
    <w:rsid w:val="0077672D"/>
    <w:rsid w:val="007907AE"/>
    <w:rsid w:val="00795059"/>
    <w:rsid w:val="007A2D75"/>
    <w:rsid w:val="007A4BE0"/>
    <w:rsid w:val="007A6852"/>
    <w:rsid w:val="007A7717"/>
    <w:rsid w:val="007A7A7D"/>
    <w:rsid w:val="007B523B"/>
    <w:rsid w:val="007B6087"/>
    <w:rsid w:val="007B6F10"/>
    <w:rsid w:val="007B7F92"/>
    <w:rsid w:val="007C1088"/>
    <w:rsid w:val="007C22A3"/>
    <w:rsid w:val="007D12D5"/>
    <w:rsid w:val="007D3FFD"/>
    <w:rsid w:val="007F3006"/>
    <w:rsid w:val="00831CA3"/>
    <w:rsid w:val="0083284D"/>
    <w:rsid w:val="00855A24"/>
    <w:rsid w:val="00867117"/>
    <w:rsid w:val="0087165C"/>
    <w:rsid w:val="00884B11"/>
    <w:rsid w:val="008850B5"/>
    <w:rsid w:val="0089125A"/>
    <w:rsid w:val="008B3E47"/>
    <w:rsid w:val="008B3F3C"/>
    <w:rsid w:val="008E0342"/>
    <w:rsid w:val="008E1BD4"/>
    <w:rsid w:val="008F07CA"/>
    <w:rsid w:val="009003AD"/>
    <w:rsid w:val="009150D0"/>
    <w:rsid w:val="00930A7A"/>
    <w:rsid w:val="00941500"/>
    <w:rsid w:val="009533A9"/>
    <w:rsid w:val="00970F09"/>
    <w:rsid w:val="00974C62"/>
    <w:rsid w:val="009815DF"/>
    <w:rsid w:val="009819D2"/>
    <w:rsid w:val="00981A4D"/>
    <w:rsid w:val="00984274"/>
    <w:rsid w:val="0098774D"/>
    <w:rsid w:val="00987C7F"/>
    <w:rsid w:val="00992790"/>
    <w:rsid w:val="009A3315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DC0"/>
    <w:rsid w:val="00A91919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5547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523D"/>
    <w:rsid w:val="00C33916"/>
    <w:rsid w:val="00C44E48"/>
    <w:rsid w:val="00C62E36"/>
    <w:rsid w:val="00C65893"/>
    <w:rsid w:val="00C87C89"/>
    <w:rsid w:val="00CA3846"/>
    <w:rsid w:val="00CB2390"/>
    <w:rsid w:val="00CE0C45"/>
    <w:rsid w:val="00CE2507"/>
    <w:rsid w:val="00CF7679"/>
    <w:rsid w:val="00D001F9"/>
    <w:rsid w:val="00D03345"/>
    <w:rsid w:val="00D047EF"/>
    <w:rsid w:val="00D21EF3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E013C8"/>
    <w:rsid w:val="00E01D89"/>
    <w:rsid w:val="00E23438"/>
    <w:rsid w:val="00E3011A"/>
    <w:rsid w:val="00E4617F"/>
    <w:rsid w:val="00E61694"/>
    <w:rsid w:val="00E70F17"/>
    <w:rsid w:val="00E74F73"/>
    <w:rsid w:val="00E8762B"/>
    <w:rsid w:val="00E93D95"/>
    <w:rsid w:val="00E95894"/>
    <w:rsid w:val="00EA204B"/>
    <w:rsid w:val="00EA5327"/>
    <w:rsid w:val="00EA65E0"/>
    <w:rsid w:val="00EB6220"/>
    <w:rsid w:val="00ED1A79"/>
    <w:rsid w:val="00ED5A05"/>
    <w:rsid w:val="00EE17C2"/>
    <w:rsid w:val="00F16464"/>
    <w:rsid w:val="00F35BCF"/>
    <w:rsid w:val="00F36218"/>
    <w:rsid w:val="00F44121"/>
    <w:rsid w:val="00F44B60"/>
    <w:rsid w:val="00F664F7"/>
    <w:rsid w:val="00F84A0F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B93B-571F-48F9-BC7C-B1E1F04E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2014-02-24T12:57:00Z</dcterms:created>
  <dcterms:modified xsi:type="dcterms:W3CDTF">2014-02-26T07:55:00Z</dcterms:modified>
</cp:coreProperties>
</file>